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0F" w:rsidRDefault="00A42C0F" w:rsidP="00A42C0F">
      <w:pPr>
        <w:ind w:firstLine="748"/>
        <w:jc w:val="center"/>
      </w:pPr>
      <w:r>
        <w:rPr>
          <w:b/>
        </w:rPr>
        <w:t xml:space="preserve">1.4 </w:t>
      </w:r>
      <w:r w:rsidRPr="007A7DDA">
        <w:rPr>
          <w:b/>
        </w:rPr>
        <w:t>Порядок расчета токов трехфазного КЗ</w:t>
      </w:r>
    </w:p>
    <w:p w:rsidR="00A42C0F" w:rsidRDefault="00A42C0F" w:rsidP="00A42C0F">
      <w:pPr>
        <w:ind w:firstLine="748"/>
        <w:jc w:val="center"/>
      </w:pPr>
    </w:p>
    <w:p w:rsidR="00A42C0F" w:rsidRDefault="00A42C0F" w:rsidP="00A42C0F">
      <w:pPr>
        <w:ind w:firstLine="748"/>
        <w:jc w:val="both"/>
      </w:pPr>
      <w:r>
        <w:t xml:space="preserve">Расчеты КЗ выполняются для выбора и проверки оборудования и выбора и проверки </w:t>
      </w:r>
      <w:proofErr w:type="spellStart"/>
      <w:r>
        <w:t>уставок</w:t>
      </w:r>
      <w:proofErr w:type="spellEnd"/>
      <w:r>
        <w:t xml:space="preserve"> релейной защиты и автоматики. Они сводятся к определению величин токов короткого замыкания и возможности их ограничения при опасных для оборудования значениях. </w:t>
      </w:r>
    </w:p>
    <w:p w:rsidR="00A42C0F" w:rsidRPr="00C14052" w:rsidRDefault="00A42C0F" w:rsidP="00A42C0F">
      <w:pPr>
        <w:pStyle w:val="FR5"/>
        <w:spacing w:before="0" w:line="240" w:lineRule="auto"/>
        <w:ind w:left="0" w:right="0" w:firstLine="748"/>
        <w:jc w:val="both"/>
        <w:rPr>
          <w:b w:val="0"/>
          <w:szCs w:val="28"/>
        </w:rPr>
      </w:pPr>
      <w:r w:rsidRPr="00C14052">
        <w:rPr>
          <w:b w:val="0"/>
        </w:rPr>
        <w:t xml:space="preserve">Все расчеты КЗ должны выполняться в соответствии с </w:t>
      </w:r>
      <w:r>
        <w:rPr>
          <w:b w:val="0"/>
        </w:rPr>
        <w:t>документом «Р</w:t>
      </w:r>
      <w:r w:rsidRPr="00C14052">
        <w:rPr>
          <w:b w:val="0"/>
          <w:szCs w:val="28"/>
        </w:rPr>
        <w:t>уководящие указания по расчету токов короткого замыкания и выбору электрооборудования</w:t>
      </w:r>
      <w:r>
        <w:rPr>
          <w:b w:val="0"/>
          <w:szCs w:val="28"/>
        </w:rPr>
        <w:t>»</w:t>
      </w:r>
    </w:p>
    <w:p w:rsidR="00A42C0F" w:rsidRDefault="00A42C0F" w:rsidP="00A42C0F">
      <w:pPr>
        <w:ind w:firstLine="748"/>
        <w:jc w:val="both"/>
      </w:pPr>
      <w:r>
        <w:t xml:space="preserve">Для практических расчетов токов короткого замыкания принимаются некоторые допущения, не вносящие существенных погрешностей в расчеты. </w:t>
      </w:r>
    </w:p>
    <w:p w:rsidR="00A42C0F" w:rsidRDefault="00A42C0F" w:rsidP="00A42C0F">
      <w:pPr>
        <w:ind w:firstLine="748"/>
        <w:jc w:val="both"/>
      </w:pPr>
      <w:r>
        <w:t xml:space="preserve">Допущения, применяемые при расчетах КЗ: </w:t>
      </w:r>
    </w:p>
    <w:p w:rsidR="00A42C0F" w:rsidRDefault="00A42C0F" w:rsidP="00A42C0F">
      <w:pPr>
        <w:ind w:firstLine="748"/>
        <w:jc w:val="both"/>
      </w:pPr>
      <w:r w:rsidRPr="00A437F6">
        <w:t>1) не учитывать сдвиг по фазе ЭДС различных синхронных машин и изменение их частоты вращения, если продолжи</w:t>
      </w:r>
      <w:r>
        <w:t>тельность КЗ не превышает 0,5 с  (или ЭДС фаз генераторов неизменны в течение всего процесса КЗ);</w:t>
      </w:r>
    </w:p>
    <w:p w:rsidR="00A42C0F" w:rsidRPr="00A437F6" w:rsidRDefault="00A42C0F" w:rsidP="00A42C0F">
      <w:pPr>
        <w:ind w:firstLine="748"/>
        <w:jc w:val="both"/>
      </w:pPr>
      <w:r w:rsidRPr="00A437F6">
        <w:t>2) не учитывать межсистемные связи, выполненные с помощью электропередачи (вставки) постоянного тока;</w:t>
      </w:r>
    </w:p>
    <w:p w:rsidR="00A42C0F" w:rsidRPr="002D1865" w:rsidRDefault="00A42C0F" w:rsidP="00A42C0F">
      <w:pPr>
        <w:ind w:firstLine="748"/>
        <w:jc w:val="both"/>
        <w:rPr>
          <w:sz w:val="24"/>
          <w:szCs w:val="24"/>
        </w:rPr>
      </w:pPr>
      <w:r w:rsidRPr="00A437F6">
        <w:t>3) не учитывать поперечную емкость воздушных линий электропередачи напряжением 110-220 кВ, если их длина не превыш</w:t>
      </w:r>
      <w:r>
        <w:t>ает 200</w:t>
      </w:r>
      <w:r w:rsidRPr="00A437F6">
        <w:t>км, и напряжением 330-500 кВ,</w:t>
      </w:r>
      <w:r>
        <w:t xml:space="preserve"> если их длина не превышает 150</w:t>
      </w:r>
      <w:r w:rsidRPr="00A437F6">
        <w:t>км;</w:t>
      </w:r>
      <w:r>
        <w:t xml:space="preserve"> (</w:t>
      </w:r>
      <w:r w:rsidRPr="002D1865">
        <w:rPr>
          <w:sz w:val="24"/>
          <w:szCs w:val="24"/>
        </w:rPr>
        <w:t>- не учитываются емкостные проводимости КЗ цепи на землю, кроме специальных случаев;</w:t>
      </w:r>
      <w:r>
        <w:rPr>
          <w:sz w:val="24"/>
          <w:szCs w:val="24"/>
        </w:rPr>
        <w:t>)</w:t>
      </w:r>
    </w:p>
    <w:p w:rsidR="00A42C0F" w:rsidRPr="00A437F6" w:rsidRDefault="00A42C0F" w:rsidP="00A42C0F">
      <w:pPr>
        <w:ind w:firstLine="748"/>
        <w:jc w:val="both"/>
      </w:pPr>
      <w:r w:rsidRPr="00A437F6">
        <w:t>4) не учитывать насыщение магнитных систем электрических машин;</w:t>
      </w:r>
    </w:p>
    <w:p w:rsidR="00A42C0F" w:rsidRPr="002D1865" w:rsidRDefault="00A42C0F" w:rsidP="00A42C0F">
      <w:pPr>
        <w:ind w:firstLine="748"/>
        <w:jc w:val="both"/>
        <w:rPr>
          <w:sz w:val="24"/>
          <w:szCs w:val="24"/>
        </w:rPr>
      </w:pPr>
      <w:r w:rsidRPr="00A437F6">
        <w:t>5) не учитывать ток намагничивания трансформаторов и автотрансформаторов</w:t>
      </w:r>
      <w:r>
        <w:t xml:space="preserve"> (то есть индуктивные сопротивления цепи КЗ постоянные); (</w:t>
      </w:r>
      <w:r w:rsidRPr="002D1865">
        <w:rPr>
          <w:sz w:val="24"/>
          <w:szCs w:val="24"/>
        </w:rPr>
        <w:t>- насыщение магнитных систем не учитывается и - намагничивающие токи трансформаторов не учитываются;</w:t>
      </w:r>
      <w:r>
        <w:rPr>
          <w:sz w:val="24"/>
          <w:szCs w:val="24"/>
        </w:rPr>
        <w:t>)</w:t>
      </w:r>
    </w:p>
    <w:p w:rsidR="00A42C0F" w:rsidRPr="00A437F6" w:rsidRDefault="00A42C0F" w:rsidP="00A42C0F">
      <w:pPr>
        <w:ind w:firstLine="748"/>
        <w:jc w:val="both"/>
      </w:pPr>
      <w:r w:rsidRPr="00A437F6">
        <w:t>6) не учитывать влияние активных сопротивлений различных элементов исходной расчетной схемы на амплитуду периодической составляющей тока КЗ, если активная составляющая результирующего эквивалентного сопротивления расчетной схемы относительно точки КЗ не превышает 30 % от индуктивной составляющей результирующего эквивалентного сопротивления;</w:t>
      </w:r>
    </w:p>
    <w:p w:rsidR="00A42C0F" w:rsidRPr="002D1865" w:rsidRDefault="00A42C0F" w:rsidP="00A42C0F">
      <w:pPr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(Или </w:t>
      </w:r>
      <w:r w:rsidRPr="002D1865">
        <w:rPr>
          <w:sz w:val="24"/>
          <w:szCs w:val="24"/>
        </w:rPr>
        <w:t>- при вычислении тока КЗ пренебрегают активным сопротивлением, если оно мало, но его учитывают при определении постоянной времени затухания апериодической составляющей тока КЗ.</w:t>
      </w:r>
      <w:r>
        <w:rPr>
          <w:sz w:val="24"/>
          <w:szCs w:val="24"/>
        </w:rPr>
        <w:t>)</w:t>
      </w:r>
    </w:p>
    <w:p w:rsidR="00A42C0F" w:rsidRPr="00A437F6" w:rsidRDefault="00A42C0F" w:rsidP="00A42C0F">
      <w:pPr>
        <w:ind w:firstLine="748"/>
        <w:jc w:val="both"/>
      </w:pPr>
      <w:r w:rsidRPr="00A437F6">
        <w:t>7) приближенно учитывать затухание апериодической составляющей тока КЗ, если исходная расчетная схема содержит несколько независимых контуров (см. п. 5.3);</w:t>
      </w:r>
    </w:p>
    <w:p w:rsidR="00A42C0F" w:rsidRPr="002D1865" w:rsidRDefault="00A42C0F" w:rsidP="00A42C0F">
      <w:pPr>
        <w:ind w:firstLine="748"/>
        <w:jc w:val="both"/>
        <w:rPr>
          <w:sz w:val="24"/>
          <w:szCs w:val="24"/>
        </w:rPr>
      </w:pPr>
      <w:r w:rsidRPr="00A437F6">
        <w:t xml:space="preserve">8) приближенно учитывать </w:t>
      </w:r>
      <w:proofErr w:type="spellStart"/>
      <w:r w:rsidRPr="00A437F6">
        <w:t>электроприемники</w:t>
      </w:r>
      <w:proofErr w:type="spellEnd"/>
      <w:r w:rsidRPr="00A437F6">
        <w:t>, сосредоточенные в отдельных узлах исходной расчетной схемы (см. п. 5.7);</w:t>
      </w:r>
      <w:r w:rsidRPr="0088678B">
        <w:rPr>
          <w:sz w:val="24"/>
          <w:szCs w:val="24"/>
        </w:rPr>
        <w:t xml:space="preserve"> </w:t>
      </w:r>
      <w:r w:rsidRPr="002D1865">
        <w:rPr>
          <w:sz w:val="24"/>
          <w:szCs w:val="24"/>
        </w:rPr>
        <w:t>- считается, что трехфазная система симметричная – влияние нагрузки учитывается приближенно;</w:t>
      </w:r>
    </w:p>
    <w:p w:rsidR="00A42C0F" w:rsidRPr="00A437F6" w:rsidRDefault="00A42C0F" w:rsidP="00A42C0F">
      <w:pPr>
        <w:ind w:firstLine="748"/>
        <w:jc w:val="both"/>
      </w:pPr>
      <w:r w:rsidRPr="00A437F6">
        <w:t xml:space="preserve">9) принимать активное сопротивление и сопротивление постоянному току </w:t>
      </w:r>
      <w:r>
        <w:t xml:space="preserve">для </w:t>
      </w:r>
      <w:r w:rsidRPr="00A437F6">
        <w:t>любого элемента исходной расчетной схемы численно равными.</w:t>
      </w:r>
    </w:p>
    <w:p w:rsidR="00A42C0F" w:rsidRDefault="00A42C0F" w:rsidP="00A42C0F">
      <w:pPr>
        <w:ind w:firstLine="748"/>
        <w:jc w:val="both"/>
      </w:pPr>
      <w:r>
        <w:t>Принимаемые допущения дают некоторую погрешность расчетов в сторону увеличения, но не более 10%.</w:t>
      </w:r>
    </w:p>
    <w:p w:rsidR="00A42C0F" w:rsidRDefault="00A42C0F" w:rsidP="00A42C0F">
      <w:pPr>
        <w:ind w:firstLine="748"/>
        <w:jc w:val="both"/>
      </w:pPr>
      <w:r>
        <w:t>Расчет токов трехфазного КЗ является основным и выполняется в следующем порядке;</w:t>
      </w:r>
    </w:p>
    <w:p w:rsidR="00A42C0F" w:rsidRDefault="00A42C0F" w:rsidP="00A42C0F">
      <w:pPr>
        <w:ind w:firstLine="748"/>
        <w:jc w:val="both"/>
      </w:pPr>
      <w:r>
        <w:lastRenderedPageBreak/>
        <w:t>1) составляется расчетная схема;</w:t>
      </w:r>
    </w:p>
    <w:p w:rsidR="00A42C0F" w:rsidRDefault="00A42C0F" w:rsidP="00A42C0F">
      <w:pPr>
        <w:ind w:firstLine="748"/>
        <w:jc w:val="both"/>
      </w:pPr>
      <w:r>
        <w:t>2) по расчетной схеме составляется схема замещения;</w:t>
      </w:r>
    </w:p>
    <w:p w:rsidR="00A42C0F" w:rsidRDefault="00A42C0F" w:rsidP="00A42C0F">
      <w:pPr>
        <w:ind w:firstLine="748"/>
        <w:jc w:val="both"/>
      </w:pPr>
      <w:r>
        <w:t>3) выполняется преобразование схемы замещения, так чтобы каждый источник питания с определенным значением результирующей ЭДС был связан с точкой КЗ только одним результирующим сопротивлением;</w:t>
      </w:r>
    </w:p>
    <w:p w:rsidR="00A42C0F" w:rsidRDefault="00A42C0F" w:rsidP="00A42C0F">
      <w:pPr>
        <w:ind w:firstLine="748"/>
        <w:jc w:val="both"/>
      </w:pPr>
      <w:r>
        <w:t xml:space="preserve">4) по преобразованной схеме определяется начальное значение периодической составляющей тока КЗ - </w:t>
      </w:r>
      <w:r>
        <w:rPr>
          <w:lang w:val="en-US"/>
        </w:rPr>
        <w:t>I</w:t>
      </w:r>
      <w:r w:rsidRPr="00A6696B">
        <w:rPr>
          <w:vertAlign w:val="subscript"/>
        </w:rPr>
        <w:t>ПО</w:t>
      </w:r>
      <w:r>
        <w:t xml:space="preserve">, ударный ток - </w:t>
      </w:r>
      <w:proofErr w:type="spellStart"/>
      <w:r w:rsidRPr="00A6696B">
        <w:rPr>
          <w:i/>
          <w:lang w:val="en-US"/>
        </w:rPr>
        <w:t>i</w:t>
      </w:r>
      <w:proofErr w:type="spellEnd"/>
      <w:r w:rsidRPr="00A6696B">
        <w:rPr>
          <w:vertAlign w:val="subscript"/>
        </w:rPr>
        <w:t>УД</w:t>
      </w:r>
      <w:r>
        <w:t>.</w:t>
      </w:r>
    </w:p>
    <w:p w:rsidR="00A42C0F" w:rsidRDefault="00A42C0F" w:rsidP="00A42C0F">
      <w:pPr>
        <w:ind w:firstLine="748"/>
        <w:jc w:val="both"/>
      </w:pPr>
    </w:p>
    <w:p w:rsidR="00A42C0F" w:rsidRDefault="00A42C0F" w:rsidP="00A42C0F">
      <w:pPr>
        <w:ind w:firstLine="748"/>
        <w:jc w:val="center"/>
      </w:pPr>
      <w:r>
        <w:rPr>
          <w:b/>
        </w:rPr>
        <w:t xml:space="preserve">1.5 </w:t>
      </w:r>
      <w:r w:rsidRPr="00C14052">
        <w:rPr>
          <w:b/>
        </w:rPr>
        <w:t>Расчетная схема</w:t>
      </w:r>
    </w:p>
    <w:p w:rsidR="00A42C0F" w:rsidRDefault="00A42C0F" w:rsidP="00A42C0F">
      <w:pPr>
        <w:ind w:firstLine="748"/>
        <w:jc w:val="center"/>
      </w:pPr>
    </w:p>
    <w:p w:rsidR="00A42C0F" w:rsidRDefault="00A42C0F" w:rsidP="00A42C0F">
      <w:pPr>
        <w:ind w:firstLine="748"/>
        <w:jc w:val="both"/>
      </w:pPr>
      <w:r>
        <w:t>Расчетная схема – это упрощенная однолинейная схема электроустановки с указанием всех элементов и их параметров, которые влияют на ток КЗ.</w:t>
      </w:r>
    </w:p>
    <w:p w:rsidR="00A42C0F" w:rsidRPr="00643224" w:rsidRDefault="00A42C0F" w:rsidP="00A42C0F">
      <w:pPr>
        <w:ind w:firstLine="748"/>
        <w:jc w:val="both"/>
      </w:pPr>
      <w:r w:rsidRPr="00643224">
        <w:t xml:space="preserve">Расчетная схема, как правило, включает в себя элементы электроустановки и примыкающей части энергосистемы, исходя из условий, предусмотренных продолжительной работой электроустановки с перспективой не менее чем </w:t>
      </w:r>
      <w:smartTag w:uri="urn:schemas-microsoft-com:office:smarttags" w:element="time">
        <w:smartTagPr>
          <w:attr w:name="Minute" w:val="0"/>
          <w:attr w:name="Hour" w:val="17"/>
        </w:smartTagPr>
        <w:r w:rsidRPr="00643224">
          <w:t>в 5</w:t>
        </w:r>
      </w:smartTag>
      <w:r w:rsidRPr="00643224">
        <w:t xml:space="preserve"> лет после ввода ее в эксплуатацию.</w:t>
      </w:r>
    </w:p>
    <w:p w:rsidR="00A42C0F" w:rsidRDefault="00A42C0F" w:rsidP="00A42C0F">
      <w:pPr>
        <w:ind w:firstLine="748"/>
        <w:jc w:val="both"/>
      </w:pPr>
      <w:r>
        <w:t>На расчетной схеме указываются номинальные параметры элементов – напряжение, мощности, длину воздушных и кабельных линий. Отдельные элементы с малыми сопротивлениями не учитываются, К ним можно отнести шины распределительных устройств, электрические аппараты, кабельные и воздушные перемычки небольшой длины и другие.</w:t>
      </w:r>
    </w:p>
    <w:p w:rsidR="00A42C0F" w:rsidRPr="00643224" w:rsidRDefault="00A42C0F" w:rsidP="00A42C0F">
      <w:pPr>
        <w:ind w:firstLine="284"/>
        <w:jc w:val="both"/>
      </w:pPr>
      <w:r>
        <w:t xml:space="preserve">На расчетной схеме указываются точки короткого замыкания. </w:t>
      </w:r>
      <w:r w:rsidRPr="00643224">
        <w:rPr>
          <w:b/>
        </w:rPr>
        <w:t>2.4.1.</w:t>
      </w:r>
      <w:r w:rsidRPr="00643224">
        <w:t xml:space="preserve"> Расчетн</w:t>
      </w:r>
      <w:r>
        <w:t>ые</w:t>
      </w:r>
      <w:r w:rsidRPr="00643224">
        <w:t xml:space="preserve"> точк</w:t>
      </w:r>
      <w:r>
        <w:t>и</w:t>
      </w:r>
      <w:r w:rsidRPr="00643224">
        <w:t xml:space="preserve"> КЗ </w:t>
      </w:r>
      <w:r>
        <w:t xml:space="preserve">намечаются </w:t>
      </w:r>
      <w:r w:rsidRPr="00643224">
        <w:t>с одной или с другой стороны от рассматриваемого элемента электроустановки в зависимости от наиболее тяжелы</w:t>
      </w:r>
      <w:r>
        <w:t>х</w:t>
      </w:r>
      <w:r w:rsidRPr="00643224">
        <w:t xml:space="preserve"> услови</w:t>
      </w:r>
      <w:r>
        <w:t>й</w:t>
      </w:r>
      <w:r w:rsidRPr="00643224">
        <w:t xml:space="preserve"> в режиме КЗ</w:t>
      </w:r>
      <w:r>
        <w:t xml:space="preserve">. </w:t>
      </w:r>
      <w:r w:rsidRPr="00643224">
        <w:t xml:space="preserve">В закрытых распределительных устройствах проводники и электрические аппараты, расположенные до реактора на </w:t>
      </w:r>
      <w:proofErr w:type="spellStart"/>
      <w:r w:rsidRPr="00643224">
        <w:t>реактированных</w:t>
      </w:r>
      <w:proofErr w:type="spellEnd"/>
      <w:r w:rsidRPr="00643224">
        <w:t xml:space="preserve"> линиях, проверяются, исходя из того, что расчетная точка КЗ находится за реактором, если они отделены от сборных шин разделяющими полками, а реактор находится в том же здании и все соединения от реактора до сборных шин выполнены шинами.</w:t>
      </w:r>
    </w:p>
    <w:p w:rsidR="00A42C0F" w:rsidRPr="00643224" w:rsidRDefault="00A42C0F" w:rsidP="00A42C0F">
      <w:pPr>
        <w:ind w:firstLine="284"/>
        <w:jc w:val="both"/>
      </w:pPr>
      <w:r>
        <w:t>Р</w:t>
      </w:r>
      <w:r w:rsidRPr="00643224">
        <w:t>асчетным видом КЗ является трехфазное</w:t>
      </w:r>
      <w:r>
        <w:t xml:space="preserve">, по которому </w:t>
      </w:r>
      <w:r w:rsidRPr="00643224">
        <w:t>провер</w:t>
      </w:r>
      <w:r>
        <w:t>яются</w:t>
      </w:r>
      <w:r w:rsidRPr="00643224">
        <w:t xml:space="preserve"> электрически</w:t>
      </w:r>
      <w:r>
        <w:t>е</w:t>
      </w:r>
      <w:r w:rsidRPr="00643224">
        <w:t xml:space="preserve"> аппарат</w:t>
      </w:r>
      <w:r>
        <w:t>ы</w:t>
      </w:r>
      <w:r w:rsidRPr="00643224">
        <w:t xml:space="preserve"> и жестки</w:t>
      </w:r>
      <w:r>
        <w:t>е</w:t>
      </w:r>
      <w:r w:rsidRPr="00643224">
        <w:t xml:space="preserve"> проводник</w:t>
      </w:r>
      <w:r>
        <w:t>и</w:t>
      </w:r>
      <w:r w:rsidRPr="00643224">
        <w:t xml:space="preserve"> вместе с относящимися к ним поддерживающими и опорными конструкциями на электродинамическую </w:t>
      </w:r>
      <w:r>
        <w:t xml:space="preserve">и термическую </w:t>
      </w:r>
      <w:r w:rsidRPr="00643224">
        <w:t xml:space="preserve">стойкость. </w:t>
      </w:r>
    </w:p>
    <w:p w:rsidR="00A42C0F" w:rsidRPr="002D1865" w:rsidRDefault="00A42C0F" w:rsidP="00A42C0F">
      <w:pPr>
        <w:ind w:firstLine="284"/>
        <w:jc w:val="both"/>
        <w:rPr>
          <w:color w:val="FF0000"/>
        </w:rPr>
      </w:pPr>
      <w:r w:rsidRPr="00643224">
        <w:t xml:space="preserve">При проверке электрических аппаратов на коммутационную способность расчетным видом КЗ может быть трехфазное или однофазное КЗ в зависимости от того, при каком виде ток КЗ имеет наибольшее значение. Если для выключателей задается разная коммутационная способность при трехфазных и однофазных КЗ, то проверку следует производить отдельно по каждому виду </w:t>
      </w:r>
      <w:r w:rsidRPr="002D1865">
        <w:rPr>
          <w:color w:val="FF0000"/>
        </w:rPr>
        <w:t>КЗ. Пример расчетной схемы на рисунке 1.2.</w:t>
      </w:r>
    </w:p>
    <w:p w:rsidR="00A42C0F" w:rsidRPr="00643224" w:rsidRDefault="00A42C0F" w:rsidP="00A42C0F">
      <w:pPr>
        <w:ind w:firstLine="284"/>
        <w:jc w:val="both"/>
      </w:pPr>
    </w:p>
    <w:p w:rsidR="00A42C0F" w:rsidRDefault="00A42C0F" w:rsidP="00A42C0F">
      <w:pPr>
        <w:ind w:firstLine="748"/>
        <w:jc w:val="center"/>
        <w:rPr>
          <w:b/>
        </w:rPr>
      </w:pPr>
      <w:r>
        <w:rPr>
          <w:b/>
        </w:rPr>
        <w:t>1.6 Расчетные условия</w:t>
      </w:r>
    </w:p>
    <w:p w:rsidR="00A42C0F" w:rsidRDefault="00A42C0F" w:rsidP="00A42C0F">
      <w:pPr>
        <w:ind w:firstLine="748"/>
        <w:jc w:val="center"/>
        <w:rPr>
          <w:b/>
        </w:rPr>
      </w:pPr>
    </w:p>
    <w:p w:rsidR="00A42C0F" w:rsidRDefault="00A42C0F" w:rsidP="00A42C0F">
      <w:pPr>
        <w:ind w:firstLine="284"/>
        <w:jc w:val="both"/>
      </w:pPr>
      <w:r>
        <w:rPr>
          <w:b/>
        </w:rPr>
        <w:t>2.1.4.</w:t>
      </w:r>
      <w:r>
        <w:t xml:space="preserve"> Расчетные условия КЗ, т.е. наиболее тяжелые, но достаточно вероятные условия КЗ, формируются на основе опыта эксплуатации электроустановок, </w:t>
      </w:r>
      <w:r>
        <w:lastRenderedPageBreak/>
        <w:t>анализа отказов электрооборудования и последствий КЗ, использования соотношений параметров режима КЗ, вытекающих из теории переходных процессов в электроустановках.</w:t>
      </w:r>
    </w:p>
    <w:p w:rsidR="00A42C0F" w:rsidRDefault="00A42C0F" w:rsidP="00A42C0F">
      <w:pPr>
        <w:ind w:firstLine="284"/>
        <w:jc w:val="both"/>
      </w:pPr>
      <w:r>
        <w:rPr>
          <w:b/>
        </w:rPr>
        <w:t>2.1.5.</w:t>
      </w:r>
      <w:r>
        <w:t xml:space="preserve"> Расчетные условия КЗ определяются индивидуально для каждого элемента электроустановки. Для однотипных по параметрам и схеме включения элементов электроустановки допускается использовать аналогичные расчетные условия.</w:t>
      </w:r>
    </w:p>
    <w:p w:rsidR="00A42C0F" w:rsidRDefault="00A42C0F" w:rsidP="00A42C0F">
      <w:pPr>
        <w:ind w:firstLine="284"/>
        <w:jc w:val="both"/>
      </w:pPr>
      <w:r>
        <w:rPr>
          <w:b/>
        </w:rPr>
        <w:t>2.1.6.</w:t>
      </w:r>
      <w:r>
        <w:t xml:space="preserve"> В соответствии с ПУЭ допускается не проверять по режиму КЗ некоторые проводники и электрические аппараты, защищенные плавкими предохранителями, а также проводники и аппараты в цепях маломощных, неответственных потребителей, имеющих резервирование в электрической или технологической части. При этом должны быть исключены возможности взрыва или пожара.</w:t>
      </w:r>
    </w:p>
    <w:p w:rsidR="00A42C0F" w:rsidRPr="00FA3AA1" w:rsidRDefault="00A42C0F" w:rsidP="00A42C0F">
      <w:pPr>
        <w:ind w:firstLine="748"/>
        <w:jc w:val="center"/>
      </w:pPr>
    </w:p>
    <w:p w:rsidR="00A42C0F" w:rsidRDefault="00A42C0F" w:rsidP="00A42C0F">
      <w:pPr>
        <w:ind w:firstLine="748"/>
        <w:jc w:val="center"/>
      </w:pPr>
      <w:r w:rsidRPr="002D1865">
        <w:rPr>
          <w:b/>
        </w:rPr>
        <w:t>1.6 Схема замещения</w:t>
      </w:r>
    </w:p>
    <w:p w:rsidR="00A42C0F" w:rsidRDefault="00A42C0F" w:rsidP="00A42C0F">
      <w:pPr>
        <w:ind w:firstLine="748"/>
        <w:jc w:val="center"/>
      </w:pPr>
    </w:p>
    <w:p w:rsidR="00A42C0F" w:rsidRDefault="00A42C0F" w:rsidP="00A42C0F">
      <w:pPr>
        <w:ind w:firstLine="284"/>
        <w:jc w:val="both"/>
      </w:pPr>
      <w:r w:rsidRPr="00643224">
        <w:t xml:space="preserve">При расчете токов КЗ следует по исходной расчетной схеме составить соответствующую схему замещения. </w:t>
      </w:r>
    </w:p>
    <w:p w:rsidR="00A42C0F" w:rsidRDefault="00A42C0F" w:rsidP="00A42C0F">
      <w:pPr>
        <w:ind w:firstLine="284"/>
        <w:jc w:val="both"/>
      </w:pPr>
      <w:r>
        <w:t>Схема замещения – это электрическая схема, соответствующая по исходным данным расчетной схеме, но все магнитные связи заменены электрическими.</w:t>
      </w:r>
    </w:p>
    <w:p w:rsidR="00A42C0F" w:rsidRPr="00643224" w:rsidRDefault="00A42C0F" w:rsidP="00A42C0F">
      <w:pPr>
        <w:ind w:firstLine="284"/>
        <w:jc w:val="both"/>
      </w:pPr>
      <w:r w:rsidRPr="00643224">
        <w:t>При этом сопротивления всех элементов схемы и ЭДС источников энергии могут быть выражены как в именованных, так и в относительных единицах.</w:t>
      </w:r>
      <w:r>
        <w:t xml:space="preserve"> Рассмотрим схему замещения для определения симметричного КЗ, </w:t>
      </w:r>
      <w:r w:rsidRPr="00D80B01">
        <w:rPr>
          <w:color w:val="FF0000"/>
        </w:rPr>
        <w:t>на рисунке 1.3</w:t>
      </w:r>
      <w:r>
        <w:t xml:space="preserve">. Элементы представлены в относительных единицах, напряжения приняты по </w:t>
      </w:r>
      <w:r w:rsidRPr="00643224">
        <w:t>шкал</w:t>
      </w:r>
      <w:r>
        <w:t>е</w:t>
      </w:r>
      <w:r w:rsidRPr="00643224">
        <w:t xml:space="preserve"> средних номинальных напряжений сетей </w:t>
      </w:r>
      <w:r w:rsidRPr="00864369">
        <w:rPr>
          <w:lang w:val="en-US"/>
        </w:rPr>
        <w:t>U</w:t>
      </w:r>
      <w:r w:rsidRPr="00864369">
        <w:rPr>
          <w:vertAlign w:val="subscript"/>
        </w:rPr>
        <w:t>СР</w:t>
      </w:r>
      <w:r>
        <w:rPr>
          <w:vertAlign w:val="subscript"/>
        </w:rPr>
        <w:t>.</w:t>
      </w:r>
      <w:r w:rsidRPr="00864369">
        <w:rPr>
          <w:vertAlign w:val="subscript"/>
        </w:rPr>
        <w:t>НОМ</w:t>
      </w:r>
      <w:r w:rsidRPr="00643224">
        <w:t>, кВ: 3,15; 6,3; 10,5; 13,8; 15,75; 18; 20; 24; 27; 37; 115; 154; 230; 340; 515; 770; 1175.</w:t>
      </w:r>
    </w:p>
    <w:p w:rsidR="00A42C0F" w:rsidRPr="00643224" w:rsidRDefault="00A42C0F" w:rsidP="00A42C0F">
      <w:pPr>
        <w:ind w:firstLine="748"/>
        <w:jc w:val="both"/>
      </w:pPr>
    </w:p>
    <w:p w:rsidR="00A42C0F" w:rsidRPr="00864369" w:rsidRDefault="00A42C0F" w:rsidP="00A42C0F">
      <w:pPr>
        <w:ind w:firstLine="748"/>
        <w:jc w:val="center"/>
        <w:rPr>
          <w:b/>
        </w:rPr>
      </w:pPr>
      <w:r w:rsidRPr="00864369">
        <w:rPr>
          <w:b/>
        </w:rPr>
        <w:t>1.7 Система относительных единиц</w:t>
      </w:r>
    </w:p>
    <w:p w:rsidR="00A42C0F" w:rsidRDefault="00A42C0F" w:rsidP="00A42C0F">
      <w:pPr>
        <w:ind w:firstLine="748"/>
        <w:jc w:val="center"/>
      </w:pPr>
    </w:p>
    <w:p w:rsidR="00A42C0F" w:rsidRPr="00643224" w:rsidRDefault="00A42C0F" w:rsidP="00A42C0F">
      <w:pPr>
        <w:ind w:firstLine="748"/>
        <w:jc w:val="both"/>
      </w:pPr>
      <w:r w:rsidRPr="00643224">
        <w:t>При выражении параметров элементов эквивалентной схемы замещения в относительных единицах с приведением параметров различных элементов исходной расчетной схемы к базисным условиям и с учетом фактических коэффициентов трансформации силовых трансформаторов и автотрансформаторов необходимо:</w:t>
      </w:r>
    </w:p>
    <w:p w:rsidR="00A42C0F" w:rsidRPr="00643224" w:rsidRDefault="00A42C0F" w:rsidP="00A42C0F">
      <w:pPr>
        <w:ind w:firstLine="748"/>
        <w:jc w:val="both"/>
      </w:pPr>
      <w:r w:rsidRPr="00643224">
        <w:t xml:space="preserve">1) задаться базисной мощностью </w:t>
      </w:r>
      <w:r w:rsidRPr="00D80B01">
        <w:rPr>
          <w:lang w:val="en-US"/>
        </w:rPr>
        <w:t>S</w:t>
      </w:r>
      <w:r w:rsidRPr="00643224">
        <w:rPr>
          <w:vertAlign w:val="subscript"/>
        </w:rPr>
        <w:t>Б</w:t>
      </w:r>
      <w:r w:rsidRPr="00643224">
        <w:t xml:space="preserve"> и для одной из ступеней напряжения исходной расчетной схемы, принимаемой за основную, выбрать базисное напряжение </w:t>
      </w:r>
      <w:r w:rsidRPr="00D80B01">
        <w:rPr>
          <w:lang w:val="en-US"/>
        </w:rPr>
        <w:t>U</w:t>
      </w:r>
      <w:r w:rsidRPr="00D80B01">
        <w:rPr>
          <w:vertAlign w:val="subscript"/>
        </w:rPr>
        <w:t>Б</w:t>
      </w:r>
      <w:r>
        <w:rPr>
          <w:vertAlign w:val="subscript"/>
        </w:rPr>
        <w:t>.</w:t>
      </w:r>
      <w:r w:rsidRPr="00D80B01">
        <w:rPr>
          <w:vertAlign w:val="subscript"/>
        </w:rPr>
        <w:t>ОСН</w:t>
      </w:r>
      <w:r w:rsidRPr="00643224">
        <w:t>;</w:t>
      </w:r>
    </w:p>
    <w:p w:rsidR="00A42C0F" w:rsidRDefault="00A42C0F" w:rsidP="00A42C0F">
      <w:pPr>
        <w:ind w:firstLine="748"/>
        <w:jc w:val="both"/>
      </w:pPr>
      <w:r w:rsidRPr="00643224">
        <w:t>2) определить базисные напряжения других ступеней напряжения расчетной схемы, используя формулу</w:t>
      </w:r>
    </w:p>
    <w:p w:rsidR="00A42C0F" w:rsidRPr="00643224" w:rsidRDefault="00A42C0F" w:rsidP="00A42C0F">
      <w:pPr>
        <w:ind w:firstLine="748"/>
        <w:jc w:val="center"/>
      </w:pPr>
    </w:p>
    <w:p w:rsidR="00A42C0F" w:rsidRDefault="00A42C0F" w:rsidP="00A42C0F">
      <w:pPr>
        <w:ind w:firstLine="748"/>
        <w:jc w:val="right"/>
      </w:pPr>
      <w:r w:rsidRPr="00D80B01">
        <w:rPr>
          <w:position w:val="-34"/>
        </w:rPr>
        <w:object w:dxaOrig="27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5pt;height:39pt" o:ole="">
            <v:imagedata r:id="rId4" o:title=""/>
          </v:shape>
          <o:OLEObject Type="Embed" ProgID="Equation.3" ShapeID="_x0000_i1029" DrawAspect="Content" ObjectID="_1452369341" r:id="rId5"/>
        </w:object>
      </w:r>
      <w:r w:rsidRPr="00643224">
        <w:t xml:space="preserve">, </w:t>
      </w:r>
      <w:r>
        <w:t xml:space="preserve"> </w:t>
      </w:r>
      <w:r w:rsidRPr="00643224">
        <w:t xml:space="preserve">                                 (3.5)</w:t>
      </w:r>
    </w:p>
    <w:p w:rsidR="00A42C0F" w:rsidRPr="00643224" w:rsidRDefault="00A42C0F" w:rsidP="00A42C0F">
      <w:pPr>
        <w:ind w:firstLine="748"/>
        <w:jc w:val="right"/>
      </w:pPr>
    </w:p>
    <w:p w:rsidR="00A42C0F" w:rsidRPr="00643224" w:rsidRDefault="00A42C0F" w:rsidP="00A42C0F">
      <w:pPr>
        <w:ind w:firstLine="748"/>
        <w:jc w:val="both"/>
      </w:pPr>
      <w:r w:rsidRPr="00643224">
        <w:lastRenderedPageBreak/>
        <w:t xml:space="preserve">где </w:t>
      </w:r>
      <w:r w:rsidRPr="00643224">
        <w:rPr>
          <w:i/>
        </w:rPr>
        <w:t>п</w:t>
      </w:r>
      <w:r w:rsidRPr="00643224">
        <w:rPr>
          <w:vertAlign w:val="subscript"/>
        </w:rPr>
        <w:t>1</w:t>
      </w:r>
      <w:r w:rsidRPr="00643224">
        <w:t xml:space="preserve">, </w:t>
      </w:r>
      <w:r w:rsidRPr="00643224">
        <w:rPr>
          <w:i/>
        </w:rPr>
        <w:t>п</w:t>
      </w:r>
      <w:r w:rsidRPr="00643224">
        <w:rPr>
          <w:vertAlign w:val="subscript"/>
        </w:rPr>
        <w:t>2</w:t>
      </w:r>
      <w:r w:rsidRPr="00643224">
        <w:t xml:space="preserve">, </w:t>
      </w:r>
      <w:r w:rsidRPr="00643224">
        <w:rPr>
          <w:i/>
        </w:rPr>
        <w:t>...</w:t>
      </w:r>
      <w:r w:rsidRPr="00643224">
        <w:t xml:space="preserve"> </w:t>
      </w:r>
      <w:proofErr w:type="spellStart"/>
      <w:r w:rsidRPr="00643224">
        <w:rPr>
          <w:i/>
        </w:rPr>
        <w:t>п</w:t>
      </w:r>
      <w:proofErr w:type="spellEnd"/>
      <w:r w:rsidRPr="00643224">
        <w:rPr>
          <w:i/>
          <w:vertAlign w:val="subscript"/>
          <w:lang w:val="en-US"/>
        </w:rPr>
        <w:t>m</w:t>
      </w:r>
      <w:r w:rsidRPr="00643224">
        <w:t xml:space="preserve"> </w:t>
      </w:r>
      <w:r w:rsidRPr="00643224">
        <w:rPr>
          <w:i/>
        </w:rPr>
        <w:t>—</w:t>
      </w:r>
      <w:r w:rsidRPr="00643224">
        <w:t xml:space="preserve"> коэффициенты трансформации трансформаторов и автотрансформаторов, включенных </w:t>
      </w:r>
      <w:proofErr w:type="spellStart"/>
      <w:r w:rsidRPr="00643224">
        <w:t>каскадно</w:t>
      </w:r>
      <w:proofErr w:type="spellEnd"/>
      <w:r w:rsidRPr="00643224">
        <w:t xml:space="preserve"> между основной и </w:t>
      </w:r>
      <w:proofErr w:type="spellStart"/>
      <w:r w:rsidRPr="00643224">
        <w:rPr>
          <w:i/>
        </w:rPr>
        <w:t>n</w:t>
      </w:r>
      <w:r w:rsidRPr="00643224">
        <w:t>-й</w:t>
      </w:r>
      <w:proofErr w:type="spellEnd"/>
      <w:r w:rsidRPr="00643224">
        <w:t xml:space="preserve"> ступенями напряжения;</w:t>
      </w:r>
    </w:p>
    <w:p w:rsidR="00A42C0F" w:rsidRPr="00643224" w:rsidRDefault="00A42C0F" w:rsidP="00A42C0F">
      <w:pPr>
        <w:ind w:firstLine="748"/>
        <w:jc w:val="both"/>
      </w:pPr>
      <w:r w:rsidRPr="00643224">
        <w:t xml:space="preserve">3) найти искомые значения ЭДС источников энергии и сопротивлений всех элементов схемы замещения в </w:t>
      </w:r>
      <w:r>
        <w:t>именован</w:t>
      </w:r>
      <w:r w:rsidRPr="00643224">
        <w:t>ных единицах при выбранных базисных условиях</w:t>
      </w:r>
      <w:r>
        <w:t xml:space="preserve"> - </w:t>
      </w:r>
      <w:r w:rsidRPr="00D80B01">
        <w:rPr>
          <w:lang w:val="en-US"/>
        </w:rPr>
        <w:t>S</w:t>
      </w:r>
      <w:r w:rsidRPr="00643224">
        <w:rPr>
          <w:vertAlign w:val="subscript"/>
        </w:rPr>
        <w:t>Б</w:t>
      </w:r>
      <w:r w:rsidRPr="00643224">
        <w:t xml:space="preserve"> и</w:t>
      </w:r>
      <w:r>
        <w:t xml:space="preserve"> </w:t>
      </w:r>
      <w:r w:rsidRPr="00D80B01">
        <w:rPr>
          <w:lang w:val="en-US"/>
        </w:rPr>
        <w:t>U</w:t>
      </w:r>
      <w:r w:rsidRPr="00D80B01">
        <w:rPr>
          <w:vertAlign w:val="subscript"/>
        </w:rPr>
        <w:t>Б</w:t>
      </w:r>
      <w:r w:rsidRPr="00643224">
        <w:t>, используя формулы</w:t>
      </w:r>
    </w:p>
    <w:p w:rsidR="00A42C0F" w:rsidRDefault="00A42C0F" w:rsidP="00A42C0F">
      <w:pPr>
        <w:ind w:firstLine="748"/>
        <w:jc w:val="center"/>
      </w:pPr>
    </w:p>
    <w:p w:rsidR="00A42C0F" w:rsidRPr="00643224" w:rsidRDefault="00A42C0F" w:rsidP="00A42C0F">
      <w:pPr>
        <w:ind w:firstLine="284"/>
        <w:jc w:val="right"/>
      </w:pPr>
      <w:r w:rsidRPr="00F05F48">
        <w:rPr>
          <w:position w:val="-12"/>
        </w:rPr>
        <w:object w:dxaOrig="1600" w:dyaOrig="380">
          <v:shape id="_x0000_i1032" type="#_x0000_t75" style="width:80pt;height:19pt" o:ole="">
            <v:imagedata r:id="rId6" o:title=""/>
          </v:shape>
          <o:OLEObject Type="Embed" ProgID="Equation.3" ShapeID="_x0000_i1032" DrawAspect="Content" ObjectID="_1452369342" r:id="rId7"/>
        </w:object>
      </w:r>
      <w:r w:rsidRPr="00643224">
        <w:t xml:space="preserve">    </w:t>
      </w:r>
      <w:r>
        <w:t xml:space="preserve"> </w:t>
      </w:r>
      <w:r w:rsidRPr="00643224">
        <w:t xml:space="preserve">                                       (3.6)</w:t>
      </w:r>
    </w:p>
    <w:p w:rsidR="00A42C0F" w:rsidRDefault="00A42C0F" w:rsidP="00A42C0F">
      <w:pPr>
        <w:ind w:firstLine="748"/>
        <w:jc w:val="center"/>
      </w:pPr>
    </w:p>
    <w:p w:rsidR="00A42C0F" w:rsidRDefault="00A42C0F" w:rsidP="00A42C0F">
      <w:pPr>
        <w:ind w:firstLine="284"/>
        <w:jc w:val="right"/>
      </w:pPr>
      <w:r w:rsidRPr="00F05F48">
        <w:rPr>
          <w:position w:val="-36"/>
        </w:rPr>
        <w:object w:dxaOrig="1540" w:dyaOrig="800">
          <v:shape id="_x0000_i1036" type="#_x0000_t75" style="width:77pt;height:40pt" o:ole="">
            <v:imagedata r:id="rId8" o:title=""/>
          </v:shape>
          <o:OLEObject Type="Embed" ProgID="Equation.3" ShapeID="_x0000_i1036" DrawAspect="Content" ObjectID="_1452369343" r:id="rId9"/>
        </w:object>
      </w:r>
      <w:r>
        <w:t>,</w:t>
      </w:r>
      <w:r w:rsidRPr="00643224">
        <w:t xml:space="preserve">                                           (3.8)</w:t>
      </w:r>
    </w:p>
    <w:p w:rsidR="00A42C0F" w:rsidRPr="00643224" w:rsidRDefault="00A42C0F" w:rsidP="00A42C0F">
      <w:pPr>
        <w:ind w:firstLine="284"/>
        <w:jc w:val="center"/>
      </w:pPr>
    </w:p>
    <w:p w:rsidR="00A42C0F" w:rsidRDefault="00A42C0F" w:rsidP="00A42C0F">
      <w:pPr>
        <w:ind w:firstLine="748"/>
        <w:jc w:val="both"/>
      </w:pPr>
      <w:r>
        <w:t>к</w:t>
      </w:r>
      <w:r w:rsidRPr="00643224">
        <w:t>огда значения ЭДС источника энергии и приводимое сопротивление заданы в относительных единицах</w:t>
      </w:r>
      <w:r>
        <w:t xml:space="preserve"> </w:t>
      </w:r>
      <w:r w:rsidRPr="00643224">
        <w:t>при выбранных базисных условиях</w:t>
      </w:r>
      <w:r>
        <w:t xml:space="preserve">, </w:t>
      </w:r>
      <w:r w:rsidRPr="00643224">
        <w:t>используя формулы</w:t>
      </w:r>
    </w:p>
    <w:p w:rsidR="00A42C0F" w:rsidRDefault="00A42C0F" w:rsidP="00A42C0F">
      <w:pPr>
        <w:ind w:firstLine="284"/>
        <w:jc w:val="center"/>
      </w:pPr>
    </w:p>
    <w:p w:rsidR="00A42C0F" w:rsidRPr="00643224" w:rsidRDefault="00A42C0F" w:rsidP="00A42C0F">
      <w:pPr>
        <w:ind w:firstLine="284"/>
        <w:jc w:val="right"/>
      </w:pPr>
      <w:r w:rsidRPr="00A079EA">
        <w:rPr>
          <w:position w:val="-34"/>
        </w:rPr>
        <w:object w:dxaOrig="2480" w:dyaOrig="780">
          <v:shape id="_x0000_i1039" type="#_x0000_t75" style="width:124pt;height:39pt" o:ole="">
            <v:imagedata r:id="rId10" o:title=""/>
          </v:shape>
          <o:OLEObject Type="Embed" ProgID="Equation.3" ShapeID="_x0000_i1039" DrawAspect="Content" ObjectID="_1452369344" r:id="rId11"/>
        </w:object>
      </w:r>
      <w:r w:rsidRPr="00643224">
        <w:t>;                                        (3.7)</w:t>
      </w:r>
    </w:p>
    <w:p w:rsidR="00A42C0F" w:rsidRDefault="00A42C0F" w:rsidP="00A42C0F">
      <w:pPr>
        <w:ind w:firstLine="284"/>
        <w:jc w:val="both"/>
      </w:pPr>
    </w:p>
    <w:p w:rsidR="00A42C0F" w:rsidRDefault="00A42C0F" w:rsidP="00A42C0F">
      <w:pPr>
        <w:ind w:firstLine="748"/>
        <w:jc w:val="both"/>
      </w:pPr>
    </w:p>
    <w:p w:rsidR="00A42C0F" w:rsidRDefault="00A42C0F" w:rsidP="00A42C0F">
      <w:pPr>
        <w:ind w:firstLine="748"/>
        <w:jc w:val="both"/>
      </w:pPr>
    </w:p>
    <w:p w:rsidR="00A42C0F" w:rsidRDefault="00A42C0F" w:rsidP="00A42C0F">
      <w:pPr>
        <w:ind w:firstLine="748"/>
        <w:jc w:val="both"/>
      </w:pPr>
    </w:p>
    <w:p w:rsidR="00A42C0F" w:rsidRDefault="00A42C0F" w:rsidP="00A42C0F">
      <w:pPr>
        <w:ind w:firstLine="748"/>
        <w:jc w:val="both"/>
      </w:pPr>
    </w:p>
    <w:p w:rsidR="00A42C0F" w:rsidRDefault="00A42C0F" w:rsidP="00A42C0F">
      <w:pPr>
        <w:ind w:firstLine="284"/>
        <w:jc w:val="center"/>
        <w:rPr>
          <w:b/>
        </w:rPr>
      </w:pPr>
      <w:r>
        <w:rPr>
          <w:b/>
        </w:rPr>
        <w:t>Схемы замещения трансформаторов, автотрансформаторов</w:t>
      </w:r>
    </w:p>
    <w:p w:rsidR="00A42C0F" w:rsidRDefault="00A42C0F" w:rsidP="00A42C0F">
      <w:pPr>
        <w:ind w:firstLine="284"/>
        <w:jc w:val="center"/>
        <w:rPr>
          <w:b/>
        </w:rPr>
      </w:pPr>
      <w:r>
        <w:rPr>
          <w:b/>
        </w:rPr>
        <w:t>и сдвоенных реакторов</w:t>
      </w:r>
    </w:p>
    <w:p w:rsidR="00A42C0F" w:rsidRDefault="00A42C0F" w:rsidP="00A42C0F">
      <w:pPr>
        <w:ind w:firstLine="284"/>
        <w:jc w:val="right"/>
      </w:pPr>
    </w:p>
    <w:tbl>
      <w:tblPr>
        <w:tblW w:w="9917" w:type="dxa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5"/>
        <w:gridCol w:w="1979"/>
        <w:gridCol w:w="2264"/>
        <w:gridCol w:w="3599"/>
      </w:tblGrid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Наименование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Исходная схема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Схема замещения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Расчетные выражения</w: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proofErr w:type="spellStart"/>
            <w:r>
              <w:t>Трехобмоточный</w:t>
            </w:r>
            <w:proofErr w:type="spellEnd"/>
            <w:r>
              <w:t xml:space="preserve"> трансформатор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255" w:dyaOrig="1460">
                <v:shape id="_x0000_i1025" type="#_x0000_t75" style="width:1in;height:84pt" o:ole="">
                  <v:imagedata r:id="rId12" o:title=""/>
                </v:shape>
                <o:OLEObject Type="Embed" ProgID="Visio.Drawing.6" ShapeID="_x0000_i1025" DrawAspect="Content" ObjectID="_1452369345" r:id="rId13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355" w:dyaOrig="1638">
                <v:shape id="_x0000_i1026" type="#_x0000_t75" style="width:77pt;height:92pt" o:ole="">
                  <v:imagedata r:id="rId14" o:title=""/>
                </v:shape>
                <o:OLEObject Type="Embed" ProgID="Visio.Drawing.6" ShapeID="_x0000_i1026" DrawAspect="Content" ObjectID="_1452369346" r:id="rId15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  <w:rPr>
                <w:i/>
              </w:rPr>
            </w:pP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В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 xml:space="preserve"> +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С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Н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>)</w: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Автотрансформатор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181" w:dyaOrig="1418">
                <v:shape id="_x0000_i1027" type="#_x0000_t75" style="width:78pt;height:93pt" o:ole="">
                  <v:imagedata r:id="rId16" o:title=""/>
                </v:shape>
                <o:OLEObject Type="Embed" ProgID="Visio.Drawing.6" ShapeID="_x0000_i1027" DrawAspect="Content" ObjectID="_1452369347" r:id="rId17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355" w:dyaOrig="1638">
                <v:shape id="_x0000_i1028" type="#_x0000_t75" style="width:77pt;height:92pt" o:ole="">
                  <v:imagedata r:id="rId14" o:title=""/>
                </v:shape>
                <o:OLEObject Type="Embed" ProgID="Visio.Drawing.6" ShapeID="_x0000_i1028" DrawAspect="Content" ObjectID="_1452369348" r:id="rId18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  <w:rPr>
                <w:i/>
              </w:rPr>
            </w:pP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В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 xml:space="preserve"> +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С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Н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>)</w: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proofErr w:type="spellStart"/>
            <w:r>
              <w:lastRenderedPageBreak/>
              <w:t>Двухобмоточный</w:t>
            </w:r>
            <w:proofErr w:type="spellEnd"/>
            <w:r>
              <w:t xml:space="preserve"> трансформатор с обмоткой низшего напряжения, расщепленной на две ветви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632" w:dyaOrig="1421">
                <v:shape id="_x0000_i1030" type="#_x0000_t75" style="width:111pt;height:97pt" o:ole="">
                  <v:imagedata r:id="rId19" o:title=""/>
                </v:shape>
                <o:OLEObject Type="Embed" ProgID="Visio.Drawing.6" ShapeID="_x0000_i1030" DrawAspect="Content" ObjectID="_1452369349" r:id="rId20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C0F" w:rsidRPr="00643224" w:rsidRDefault="00A42C0F" w:rsidP="00002273">
            <w:pPr>
              <w:jc w:val="center"/>
            </w:pPr>
            <w:r>
              <w:object w:dxaOrig="1662" w:dyaOrig="1432">
                <v:shape id="_x0000_i1031" type="#_x0000_t75" style="width:94pt;height:81pt" o:ole="">
                  <v:imagedata r:id="rId21" o:title=""/>
                </v:shape>
                <o:OLEObject Type="Embed" ProgID="Visio.Drawing.6" ShapeID="_x0000_i1031" DrawAspect="Content" ObjectID="_1452369350" r:id="rId22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В</w:t>
            </w:r>
            <w:r>
              <w:t xml:space="preserve"> = 0,01(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 xml:space="preserve"> - 0,25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кН1-Н2</w:t>
            </w:r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Н1</w:t>
            </w:r>
            <w:r>
              <w:t xml:space="preserve"> =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Н2</w:t>
            </w:r>
            <w:r>
              <w:t xml:space="preserve"> = 0,005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кН1-Н2</w: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proofErr w:type="spellStart"/>
            <w:r>
              <w:t>Двухобмоточный</w:t>
            </w:r>
            <w:proofErr w:type="spellEnd"/>
            <w:r>
              <w:t xml:space="preserve"> трансформатор с обмоткой низшего напряжения, расщепленной</w:t>
            </w:r>
          </w:p>
          <w:p w:rsidR="00A42C0F" w:rsidRDefault="00A42C0F" w:rsidP="00002273">
            <w:pPr>
              <w:jc w:val="center"/>
            </w:pPr>
            <w:r>
              <w:t xml:space="preserve">на </w:t>
            </w:r>
            <w:r>
              <w:rPr>
                <w:i/>
                <w:lang w:val="en-US"/>
              </w:rPr>
              <w:t>n</w:t>
            </w:r>
            <w:r>
              <w:t xml:space="preserve"> ветвей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5385" w:dyaOrig="5985">
                <v:shape id="_x0000_i1033" type="#_x0000_t75" style="width:81pt;height:92pt" o:ole="">
                  <v:imagedata r:id="rId23" o:title=""/>
                </v:shape>
                <o:OLEObject Type="Embed" ProgID="MSPhotoEd.3" ShapeID="_x0000_i1033" DrawAspect="Content" ObjectID="_1452369351" r:id="rId24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5535" w:dyaOrig="6645">
                <v:shape id="_x0000_i1034" type="#_x0000_t75" style="width:85pt;height:102pt" o:ole="">
                  <v:imagedata r:id="rId25" o:title=""/>
                </v:shape>
                <o:OLEObject Type="Embed" ProgID="MSPhotoEd.3" ShapeID="_x0000_i1034" DrawAspect="Content" ObjectID="_1452369352" r:id="rId26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rPr>
                <w:position w:val="-26"/>
              </w:rPr>
              <w:object w:dxaOrig="2560" w:dyaOrig="620">
                <v:shape id="_x0000_i1035" type="#_x0000_t75" style="width:128pt;height:31pt" o:ole="">
                  <v:imagedata r:id="rId27" o:title=""/>
                </v:shape>
                <o:OLEObject Type="Embed" ProgID="Equation.3" ShapeID="_x0000_i1035" DrawAspect="Content" ObjectID="_1452369353" r:id="rId28"/>
              </w:object>
            </w:r>
          </w:p>
          <w:p w:rsidR="00A42C0F" w:rsidRPr="0028368E" w:rsidRDefault="00A42C0F" w:rsidP="00002273">
            <w:pPr>
              <w:jc w:val="center"/>
            </w:pP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Н1</w:t>
            </w:r>
            <w:r>
              <w:t xml:space="preserve"> =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Н2</w:t>
            </w:r>
            <w:r>
              <w:t xml:space="preserve"> = ... =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</w:t>
            </w:r>
            <w:r>
              <w:rPr>
                <w:vertAlign w:val="subscript"/>
                <w:lang w:val="en-US"/>
              </w:rPr>
              <w:t>n</w:t>
            </w:r>
            <w:r w:rsidRPr="0028368E">
              <w:t xml:space="preserve"> =</w:t>
            </w:r>
          </w:p>
          <w:p w:rsidR="00A42C0F" w:rsidRDefault="00A42C0F" w:rsidP="00002273">
            <w:pPr>
              <w:jc w:val="center"/>
            </w:pPr>
            <w:r w:rsidRPr="0028368E">
              <w:t>= 0,005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</w:t>
            </w:r>
            <w:proofErr w:type="spellStart"/>
            <w:r>
              <w:rPr>
                <w:vertAlign w:val="subscript"/>
                <w:lang w:val="en-US"/>
              </w:rPr>
              <w:t>Hn</w:t>
            </w:r>
            <w:proofErr w:type="spellEnd"/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Автотрансформатор с обмоткой низшего напряжения, расщепленной на две ветви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5265" w:dyaOrig="5235">
                <v:shape id="_x0000_i1037" type="#_x0000_t75" style="width:80pt;height:80pt" o:ole="">
                  <v:imagedata r:id="rId29" o:title=""/>
                </v:shape>
                <o:OLEObject Type="Embed" ProgID="MSPhotoEd.3" ShapeID="_x0000_i1037" DrawAspect="Content" ObjectID="_1452369354" r:id="rId30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4575" w:dyaOrig="5475">
                <v:shape id="_x0000_i1038" type="#_x0000_t75" style="width:68pt;height:81pt" o:ole="">
                  <v:imagedata r:id="rId31" o:title=""/>
                </v:shape>
                <o:OLEObject Type="Embed" ProgID="MSPhotoEd.3" ShapeID="_x0000_i1038" DrawAspect="Content" ObjectID="_1452369355" r:id="rId32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  <w:rPr>
                <w:i/>
              </w:rPr>
            </w:pP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В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</w:t>
            </w:r>
            <w:r>
              <w:rPr>
                <w:vertAlign w:val="subscript"/>
                <w:lang w:val="en-US"/>
              </w:rPr>
              <w:t>C</w:t>
            </w:r>
            <w:r>
              <w:t xml:space="preserve"> 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С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Н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Н1</w:t>
            </w:r>
            <w:r>
              <w:t xml:space="preserve"> = </w:t>
            </w:r>
            <w:r>
              <w:rPr>
                <w:i/>
              </w:rPr>
              <w:t>Х</w:t>
            </w:r>
            <w:r>
              <w:rPr>
                <w:vertAlign w:val="subscript"/>
              </w:rPr>
              <w:t>Н2</w:t>
            </w:r>
            <w:r>
              <w:t xml:space="preserve"> = 0,005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кН1-Н2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 w:rsidRPr="0028368E">
              <w:rPr>
                <w:i/>
              </w:rPr>
              <w:t>'</w:t>
            </w:r>
            <w:r>
              <w:rPr>
                <w:vertAlign w:val="subscript"/>
              </w:rPr>
              <w:t>Н</w:t>
            </w:r>
            <w:r>
              <w:t xml:space="preserve"> = </w:t>
            </w:r>
            <w:r>
              <w:rPr>
                <w:i/>
              </w:rPr>
              <w:t>Х</w:t>
            </w:r>
            <w:r>
              <w:rPr>
                <w:vertAlign w:val="subscript"/>
              </w:rPr>
              <w:t>Н</w:t>
            </w:r>
            <w:r>
              <w:t xml:space="preserve"> - 0,0025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кН1-Н2</w: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Автотрансформатор с обмоткой низшего напряжения, расщепленной на л ветвей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5385" w:dyaOrig="6015">
                <v:shape id="_x0000_i1040" type="#_x0000_t75" style="width:82pt;height:92pt" o:ole="">
                  <v:imagedata r:id="rId33" o:title=""/>
                </v:shape>
                <o:OLEObject Type="Embed" ProgID="MSPhotoEd.3" ShapeID="_x0000_i1040" DrawAspect="Content" ObjectID="_1452369356" r:id="rId34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object w:dxaOrig="4545" w:dyaOrig="6225">
                <v:shape id="_x0000_i1041" type="#_x0000_t75" style="width:67pt;height:92pt" o:ole="">
                  <v:imagedata r:id="rId35" o:title=""/>
                </v:shape>
                <o:OLEObject Type="Embed" ProgID="MSPhotoEd.3" ShapeID="_x0000_i1041" DrawAspect="Content" ObjectID="_1452369357" r:id="rId36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  <w:rPr>
                <w:i/>
              </w:rPr>
            </w:pP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В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 xml:space="preserve"> +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С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 xml:space="preserve"> 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t>)</w:t>
            </w:r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Н</w:t>
            </w:r>
            <w:r>
              <w:t xml:space="preserve"> = 0,005(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кВ-Н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>
              <w:rPr>
                <w:i/>
                <w:lang w:val="en-US"/>
              </w:rPr>
              <w:t>u</w:t>
            </w:r>
            <w:proofErr w:type="spellStart"/>
            <w:r>
              <w:rPr>
                <w:vertAlign w:val="subscript"/>
              </w:rPr>
              <w:t>кС-Н</w:t>
            </w:r>
            <w:proofErr w:type="spellEnd"/>
            <w:r>
              <w:t xml:space="preserve"> - 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кВ-С</w:t>
            </w:r>
            <w:r>
              <w:t>)</w:t>
            </w:r>
          </w:p>
          <w:p w:rsidR="00A42C0F" w:rsidRDefault="00A42C0F" w:rsidP="00002273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Н1</w:t>
            </w:r>
            <w:r>
              <w:t xml:space="preserve"> =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Н2</w:t>
            </w:r>
            <w:r>
              <w:t xml:space="preserve"> = ... =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</w:rPr>
              <w:t>Н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 xml:space="preserve"> =</w:t>
            </w:r>
          </w:p>
          <w:p w:rsidR="00A42C0F" w:rsidRDefault="00A42C0F" w:rsidP="00002273">
            <w:pPr>
              <w:jc w:val="center"/>
            </w:pPr>
            <w:r>
              <w:rPr>
                <w:lang w:val="en-US"/>
              </w:rPr>
              <w:t>= 0,005</w:t>
            </w: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кН1-</w:t>
            </w:r>
            <w:proofErr w:type="spellStart"/>
            <w:r>
              <w:rPr>
                <w:vertAlign w:val="subscript"/>
                <w:lang w:val="en-US"/>
              </w:rPr>
              <w:t>Hn</w:t>
            </w:r>
            <w:proofErr w:type="spellEnd"/>
          </w:p>
          <w:p w:rsidR="00A42C0F" w:rsidRDefault="00A42C0F" w:rsidP="00002273">
            <w:pPr>
              <w:jc w:val="center"/>
            </w:pPr>
            <w:r>
              <w:rPr>
                <w:position w:val="-20"/>
              </w:rPr>
              <w:object w:dxaOrig="2200" w:dyaOrig="540">
                <v:shape id="_x0000_i1042" type="#_x0000_t75" style="width:110pt;height:27pt" o:ole="">
                  <v:imagedata r:id="rId37" o:title=""/>
                </v:shape>
                <o:OLEObject Type="Embed" ProgID="Equation.3" ShapeID="_x0000_i1042" DrawAspect="Content" ObjectID="_1452369358" r:id="rId38"/>
              </w:object>
            </w:r>
          </w:p>
        </w:tc>
      </w:tr>
      <w:tr w:rsidR="00A42C0F" w:rsidTr="0000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t>Сдвоенный реактор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Pr="00643224" w:rsidRDefault="00A42C0F" w:rsidP="00002273">
            <w:pPr>
              <w:jc w:val="center"/>
            </w:pPr>
            <w:r>
              <w:object w:dxaOrig="1332" w:dyaOrig="1055">
                <v:shape id="_x0000_i1043" type="#_x0000_t75" style="width:94pt;height:76pt" o:ole="">
                  <v:imagedata r:id="rId39" o:title=""/>
                </v:shape>
                <o:OLEObject Type="Embed" ProgID="Visio.Drawing.6" ShapeID="_x0000_i1043" DrawAspect="Content" ObjectID="_1452369359" r:id="rId40"/>
              </w:objec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Pr="00643224" w:rsidRDefault="00A42C0F" w:rsidP="00002273">
            <w:pPr>
              <w:jc w:val="center"/>
            </w:pPr>
            <w:r>
              <w:object w:dxaOrig="1662" w:dyaOrig="1432">
                <v:shape id="_x0000_i1044" type="#_x0000_t75" style="width:92pt;height:80pt" o:ole="">
                  <v:imagedata r:id="rId41" o:title=""/>
                </v:shape>
                <o:OLEObject Type="Embed" ProgID="Visio.Drawing.6" ShapeID="_x0000_i1044" DrawAspect="Content" ObjectID="_1452369360" r:id="rId42"/>
              </w:objec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С</w:t>
            </w:r>
            <w:r>
              <w:t xml:space="preserve"> = - </w:t>
            </w:r>
            <w:r>
              <w:rPr>
                <w:i/>
                <w:lang w:val="en-US"/>
              </w:rPr>
              <w:t>K</w:t>
            </w:r>
            <w:proofErr w:type="spellStart"/>
            <w:r>
              <w:rPr>
                <w:vertAlign w:val="subscript"/>
              </w:rPr>
              <w:t>св</w:t>
            </w:r>
            <w:r>
              <w:rPr>
                <w:i/>
              </w:rPr>
              <w:t>Х</w:t>
            </w:r>
            <w:r>
              <w:rPr>
                <w:vertAlign w:val="subscript"/>
              </w:rPr>
              <w:t>р</w:t>
            </w:r>
            <w:proofErr w:type="spellEnd"/>
          </w:p>
          <w:p w:rsidR="00A42C0F" w:rsidRDefault="00A42C0F" w:rsidP="00002273">
            <w:pPr>
              <w:jc w:val="center"/>
            </w:pPr>
            <w:r>
              <w:rPr>
                <w:i/>
              </w:rPr>
              <w:t>Х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rPr>
                <w:i/>
              </w:rPr>
              <w:t>Х</w:t>
            </w:r>
            <w:r>
              <w:rPr>
                <w:vertAlign w:val="subscript"/>
              </w:rPr>
              <w:t>2</w:t>
            </w:r>
            <w:r>
              <w:t xml:space="preserve"> = (1 + </w:t>
            </w:r>
            <w:r>
              <w:rPr>
                <w:i/>
                <w:lang w:val="en-US"/>
              </w:rPr>
              <w:t>K</w:t>
            </w:r>
            <w:proofErr w:type="spellStart"/>
            <w:r>
              <w:rPr>
                <w:vertAlign w:val="subscript"/>
              </w:rPr>
              <w:t>св</w:t>
            </w:r>
            <w:proofErr w:type="spellEnd"/>
            <w:r>
              <w:t>)</w:t>
            </w:r>
            <w:proofErr w:type="spellStart"/>
            <w:r>
              <w:rPr>
                <w:i/>
              </w:rPr>
              <w:t>Х</w:t>
            </w:r>
            <w:r>
              <w:rPr>
                <w:vertAlign w:val="subscript"/>
              </w:rPr>
              <w:t>р</w:t>
            </w:r>
            <w:proofErr w:type="spellEnd"/>
          </w:p>
        </w:tc>
      </w:tr>
    </w:tbl>
    <w:p w:rsidR="00A42C0F" w:rsidRDefault="00A42C0F" w:rsidP="00A42C0F">
      <w:pPr>
        <w:ind w:firstLine="284"/>
        <w:jc w:val="right"/>
      </w:pPr>
    </w:p>
    <w:p w:rsidR="00A42C0F" w:rsidRDefault="00A42C0F" w:rsidP="00A42C0F">
      <w:pPr>
        <w:ind w:firstLine="284"/>
        <w:jc w:val="right"/>
      </w:pPr>
    </w:p>
    <w:p w:rsidR="00A42C0F" w:rsidRPr="00643224" w:rsidRDefault="00A42C0F" w:rsidP="00A42C0F">
      <w:pPr>
        <w:ind w:firstLine="284"/>
        <w:jc w:val="right"/>
      </w:pPr>
      <w:r w:rsidRPr="00A079EA">
        <w:rPr>
          <w:position w:val="-36"/>
        </w:rPr>
        <w:object w:dxaOrig="3180" w:dyaOrig="859">
          <v:shape id="_x0000_i1045" type="#_x0000_t75" style="width:159pt;height:43pt" o:ole="">
            <v:imagedata r:id="rId43" o:title=""/>
          </v:shape>
          <o:OLEObject Type="Embed" ProgID="Equation.3" ShapeID="_x0000_i1045" DrawAspect="Content" ObjectID="_1452369361" r:id="rId44"/>
        </w:object>
      </w:r>
      <w:r w:rsidRPr="00643224">
        <w:t xml:space="preserve">,       </w:t>
      </w:r>
      <w:r>
        <w:t xml:space="preserve"> </w:t>
      </w:r>
      <w:r w:rsidRPr="00643224">
        <w:t xml:space="preserve">   </w:t>
      </w:r>
      <w:r>
        <w:t xml:space="preserve"> </w:t>
      </w:r>
      <w:r w:rsidRPr="00643224">
        <w:t xml:space="preserve">                       (3.9)</w:t>
      </w:r>
    </w:p>
    <w:p w:rsidR="00A42C0F" w:rsidRPr="002D1865" w:rsidRDefault="00A42C0F" w:rsidP="00A42C0F">
      <w:pPr>
        <w:ind w:firstLine="748"/>
        <w:jc w:val="both"/>
      </w:pPr>
    </w:p>
    <w:p w:rsidR="007B61D9" w:rsidRDefault="007B61D9"/>
    <w:sectPr w:rsidR="007B61D9" w:rsidSect="008871E7">
      <w:headerReference w:type="even" r:id="rId45"/>
      <w:headerReference w:type="default" r:id="rId4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E7" w:rsidRDefault="00A42C0F" w:rsidP="00724E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1E7" w:rsidRDefault="00A42C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E7" w:rsidRDefault="00A42C0F" w:rsidP="00724E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8871E7" w:rsidRDefault="00A42C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42C0F"/>
    <w:rsid w:val="007B61D9"/>
    <w:rsid w:val="00A42C0F"/>
    <w:rsid w:val="00E1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rsid w:val="00A42C0F"/>
    <w:pPr>
      <w:widowControl w:val="0"/>
      <w:overflowPunct w:val="0"/>
      <w:autoSpaceDE w:val="0"/>
      <w:autoSpaceDN w:val="0"/>
      <w:adjustRightInd w:val="0"/>
      <w:spacing w:before="3340" w:line="260" w:lineRule="auto"/>
      <w:ind w:left="240" w:right="20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A42C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C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42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emf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8.bin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oleObject" Target="embeddings/oleObject9.bin"/><Relationship Id="rId29" Type="http://schemas.openxmlformats.org/officeDocument/2006/relationships/image" Target="media/image13.png"/><Relationship Id="rId41" Type="http://schemas.openxmlformats.org/officeDocument/2006/relationships/image" Target="media/image19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header" Target="header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png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image" Target="media/image8.emf"/><Relationship Id="rId31" Type="http://schemas.openxmlformats.org/officeDocument/2006/relationships/image" Target="media/image14.png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png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2014-01-27T17:08:00Z</dcterms:created>
  <dcterms:modified xsi:type="dcterms:W3CDTF">2014-01-27T17:09:00Z</dcterms:modified>
</cp:coreProperties>
</file>